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62" w:rsidRPr="009B0C62" w:rsidRDefault="009B0C62" w:rsidP="009B0C62">
      <w:pPr>
        <w:tabs>
          <w:tab w:val="right" w:pos="0"/>
        </w:tabs>
        <w:autoSpaceDE w:val="0"/>
        <w:autoSpaceDN w:val="0"/>
        <w:adjustRightInd w:val="0"/>
        <w:spacing w:after="200" w:line="276" w:lineRule="auto"/>
        <w:ind w:firstLine="851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9B0C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Структура отчета по </w:t>
      </w:r>
      <w:proofErr w:type="spellStart"/>
      <w:r w:rsidRPr="009B0C62">
        <w:rPr>
          <w:rFonts w:ascii="Times New Roman CYR" w:eastAsia="Calibri" w:hAnsi="Times New Roman CYR" w:cs="Times New Roman CYR"/>
          <w:b/>
          <w:bCs/>
          <w:sz w:val="28"/>
          <w:szCs w:val="28"/>
        </w:rPr>
        <w:t>самообследованию</w:t>
      </w:r>
      <w:proofErr w:type="spellEnd"/>
      <w:r w:rsidRPr="009B0C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образовательной организацией профессиональной образовательной программы</w:t>
      </w:r>
    </w:p>
    <w:p w:rsidR="009B0C62" w:rsidRPr="009B0C62" w:rsidRDefault="009B0C62" w:rsidP="009B0C62">
      <w:pPr>
        <w:tabs>
          <w:tab w:val="right" w:pos="0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62" w:rsidRPr="00DD0BBB" w:rsidRDefault="009B0C62" w:rsidP="009B0C62">
      <w:pPr>
        <w:keepNext/>
        <w:numPr>
          <w:ilvl w:val="0"/>
          <w:numId w:val="1"/>
        </w:numPr>
        <w:tabs>
          <w:tab w:val="num" w:pos="0"/>
        </w:tabs>
        <w:spacing w:after="20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68337869"/>
      <w:bookmarkStart w:id="1" w:name="_Toc68339281"/>
      <w:bookmarkStart w:id="2" w:name="_Toc68586588"/>
      <w:bookmarkStart w:id="3" w:name="_Toc68586745"/>
      <w:bookmarkStart w:id="4" w:name="_Toc115082338"/>
      <w:bookmarkStart w:id="5" w:name="_Toc115148810"/>
      <w:bookmarkStart w:id="6" w:name="_Toc115148966"/>
      <w:bookmarkStart w:id="7" w:name="_Toc116286155"/>
      <w:bookmarkStart w:id="8" w:name="_Toc189631201"/>
      <w:r w:rsidRPr="00DD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Общая информация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DD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 профессиональной образовательной программе:</w:t>
      </w:r>
    </w:p>
    <w:p w:rsidR="009B0C62" w:rsidRPr="009B0C62" w:rsidRDefault="009B0C62" w:rsidP="009B0C62">
      <w:pPr>
        <w:keepNext/>
        <w:spacing w:after="120" w:line="276" w:lineRule="auto"/>
        <w:ind w:left="295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D0BBB">
        <w:rPr>
          <w:rFonts w:ascii="Times New Roman" w:eastAsia="Times New Roman" w:hAnsi="Times New Roman" w:cs="Times New Roman"/>
          <w:bCs/>
          <w:iCs/>
          <w:sz w:val="24"/>
          <w:szCs w:val="24"/>
        </w:rPr>
        <w:t>- для основных профессиональных образовательных программ - код и наименование направления подготовки (специальности, профессии) и наименование образовательной программы (образовательных программ);</w:t>
      </w:r>
    </w:p>
    <w:p w:rsidR="009B0C62" w:rsidRPr="009B0C62" w:rsidRDefault="009B0C62" w:rsidP="009B0C62">
      <w:pPr>
        <w:keepNext/>
        <w:spacing w:after="120" w:line="276" w:lineRule="auto"/>
        <w:ind w:left="295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B0C62">
        <w:rPr>
          <w:rFonts w:ascii="Times New Roman" w:eastAsia="Times New Roman" w:hAnsi="Times New Roman" w:cs="Times New Roman"/>
          <w:bCs/>
          <w:iCs/>
          <w:sz w:val="24"/>
          <w:szCs w:val="24"/>
        </w:rPr>
        <w:t>- для основных программ профессионального обучения – код и наименование профессии рабочего, должности служащего, а также типа программы (подготовка, переподготовка, повышение квалификации);</w:t>
      </w:r>
    </w:p>
    <w:p w:rsidR="009B0C62" w:rsidRPr="009B0C62" w:rsidRDefault="009B0C62" w:rsidP="009B0C62">
      <w:pPr>
        <w:keepNext/>
        <w:spacing w:after="120" w:line="276" w:lineRule="auto"/>
        <w:ind w:left="295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B0C62">
        <w:rPr>
          <w:rFonts w:ascii="Times New Roman" w:eastAsia="Times New Roman" w:hAnsi="Times New Roman" w:cs="Times New Roman"/>
          <w:bCs/>
          <w:iCs/>
          <w:sz w:val="24"/>
          <w:szCs w:val="24"/>
        </w:rPr>
        <w:t>- для дополнительных профессиональных программ – наименование образовательной программы и перечня профессиональных компетенций, осваиваемых в рамках программы ДПП, а также тип программы (переподготовка, повышение квалификации);</w:t>
      </w:r>
    </w:p>
    <w:p w:rsidR="009B0C62" w:rsidRPr="009B0C62" w:rsidRDefault="009B0C62" w:rsidP="009B0C62">
      <w:pPr>
        <w:keepNext/>
        <w:spacing w:after="120" w:line="276" w:lineRule="auto"/>
        <w:ind w:left="294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B0C62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профессиональный стандарт, на соответствие которому аккредитуется программа (с реквизитами);</w:t>
      </w:r>
    </w:p>
    <w:p w:rsidR="009B0C62" w:rsidRPr="009B0C62" w:rsidRDefault="009B0C62" w:rsidP="009B0C62">
      <w:pPr>
        <w:keepNext/>
        <w:spacing w:after="0" w:line="360" w:lineRule="auto"/>
        <w:ind w:left="293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B0C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форма освоения программы (очная, очно-заочная, заочная); </w:t>
      </w:r>
    </w:p>
    <w:p w:rsidR="009B0C62" w:rsidRPr="009B0C62" w:rsidRDefault="009B0C62" w:rsidP="009B0C62">
      <w:pPr>
        <w:keepNext/>
        <w:spacing w:after="0" w:line="360" w:lineRule="auto"/>
        <w:ind w:left="293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B0C62">
        <w:rPr>
          <w:rFonts w:ascii="Times New Roman" w:eastAsia="Times New Roman" w:hAnsi="Times New Roman" w:cs="Times New Roman"/>
          <w:bCs/>
          <w:iCs/>
          <w:sz w:val="24"/>
          <w:szCs w:val="24"/>
        </w:rPr>
        <w:t>срок освоения программы;</w:t>
      </w:r>
    </w:p>
    <w:p w:rsidR="009B0C62" w:rsidRPr="009B0C62" w:rsidRDefault="009B0C62" w:rsidP="009B0C62">
      <w:pPr>
        <w:keepNext/>
        <w:spacing w:after="0" w:line="360" w:lineRule="auto"/>
        <w:ind w:left="293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B0C62">
        <w:rPr>
          <w:rFonts w:ascii="Times New Roman" w:eastAsia="Times New Roman" w:hAnsi="Times New Roman" w:cs="Times New Roman"/>
          <w:bCs/>
          <w:iCs/>
          <w:sz w:val="24"/>
          <w:szCs w:val="24"/>
        </w:rPr>
        <w:t>осваиваемые квалификации;</w:t>
      </w:r>
    </w:p>
    <w:p w:rsidR="009B0C62" w:rsidRPr="009B0C62" w:rsidRDefault="009B0C62" w:rsidP="009B0C62">
      <w:pPr>
        <w:keepNext/>
        <w:tabs>
          <w:tab w:val="left" w:pos="360"/>
        </w:tabs>
        <w:spacing w:before="240" w:after="0" w:line="360" w:lineRule="auto"/>
        <w:ind w:left="363" w:hanging="20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189631206"/>
      <w:r w:rsidRPr="009B0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9B0C6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B0C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9B0C6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Самообследование</w:t>
      </w:r>
      <w:proofErr w:type="spellEnd"/>
      <w:r w:rsidRPr="009B0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профессиональной образовательной программы</w:t>
      </w:r>
      <w:bookmarkEnd w:id="9"/>
    </w:p>
    <w:p w:rsidR="009B0C62" w:rsidRPr="009B0C62" w:rsidRDefault="009B0C62" w:rsidP="009B0C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необходимо представить детальный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того, насколько программа</w:t>
      </w: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удовлетворяет всем требованиям каждого критерия </w:t>
      </w:r>
      <w:proofErr w:type="spellStart"/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 </w:t>
      </w:r>
    </w:p>
    <w:p w:rsidR="009B0C62" w:rsidRPr="009B0C62" w:rsidRDefault="009B0C62" w:rsidP="009B0C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структурируется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подразделам в соответствии с</w:t>
      </w: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критериями: 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Успешное прохождение выпускниками профессиональной образовательной программы процедуры независимой оценки квалификации (для профессиональных образовательных программ, ориентированные на получение выпускниками профессиональной квалификации).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Описываются процедуры участия выпускников в независимой оценке квалификации и приводятся результаты независимого оценивания квалификации. </w:t>
      </w:r>
    </w:p>
    <w:p w:rsid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Описываются другие оценочные процедуры, которые использовались для проверки качества освоения образовательной программы (с приложением образцов оценочных средств). </w:t>
      </w:r>
    </w:p>
    <w:p w:rsidR="00E3526E" w:rsidRPr="00E3526E" w:rsidRDefault="00E3526E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приводится за период, с момента предыдущего получения профессионально-общественной аккредитации до момента подачи данной зая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вки.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Сведения: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по количеству выпускников по программе (за 1-2 года);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выпускников, прошедших процедуры оценки профессиональных квалификаций;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свидетельств о независимой оценке профессиональной квалификации;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выпускников и результаты итоговой аттестации с участием независимых экспертов от отрасли;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(копии)  документов, получаемых выпускниками по итогам освоения программ;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выпускников или обучающихся по образовательной программе, чьи работы нашли практическое применение в профильных организациях или отмечены профессиональными наградами; описание работ, копии свидетельств;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выпускников или обучающихся по образовательной программе, ставших победителями и призерами олимпиад, конкурсов профессионального мастерства, научных конференций профильной направленности; описание работ, тексты выступлений, презентации, копии свидетельств;</w:t>
      </w:r>
    </w:p>
    <w:p w:rsidR="009B0C62" w:rsidRPr="009B0C62" w:rsidRDefault="009B0C62" w:rsidP="009B0C62">
      <w:pPr>
        <w:autoSpaceDE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Соответствие сформулированных в  профессиональной образовательной программе планируемых результатов освоения профессиональной образовательной программы (выраженных в форме профессиональных компетенций, результатов обучения, иных формах) профессиональным стандартам.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пункте приводятся результаты сравнительного анализа содержания связанных компонентов образовательной программы и профессиональных стандартов. 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результатов анализа может использоваться приведенная ниже табличная форма. Желательно предоставить выдержки из учебно-методического комплекта - УМК (учебный план по программе, учебные программы дисциплин и профессиональных модулей, контрольно-оценочные средства, учебный график);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выездной экспертизы УМК должен быть доступен экспертам в полном объеме.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</w:t>
      </w: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видов деятельности, профессиональных компетенций профессиональной образовательной программы и профессионального стандарта</w:t>
      </w:r>
    </w:p>
    <w:tbl>
      <w:tblPr>
        <w:tblStyle w:val="2"/>
        <w:tblW w:w="0" w:type="auto"/>
        <w:tblLook w:val="04A0"/>
      </w:tblPr>
      <w:tblGrid>
        <w:gridCol w:w="4785"/>
        <w:gridCol w:w="4786"/>
      </w:tblGrid>
      <w:tr w:rsidR="009B0C62" w:rsidRPr="009B0C62" w:rsidTr="00741D89">
        <w:tc>
          <w:tcPr>
            <w:tcW w:w="4785" w:type="dxa"/>
          </w:tcPr>
          <w:p w:rsidR="009B0C62" w:rsidRPr="009B0C62" w:rsidRDefault="009B0C62" w:rsidP="009B0C62">
            <w:pPr>
              <w:autoSpaceDE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образовательная программа</w:t>
            </w:r>
          </w:p>
        </w:tc>
        <w:tc>
          <w:tcPr>
            <w:tcW w:w="4786" w:type="dxa"/>
          </w:tcPr>
          <w:p w:rsidR="009B0C62" w:rsidRPr="009B0C62" w:rsidRDefault="009B0C62" w:rsidP="009B0C62">
            <w:pPr>
              <w:autoSpaceDE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стандарт или иные квалификационные требования</w:t>
            </w:r>
          </w:p>
        </w:tc>
      </w:tr>
      <w:tr w:rsidR="009B0C62" w:rsidRPr="009B0C62" w:rsidTr="00741D89">
        <w:tc>
          <w:tcPr>
            <w:tcW w:w="4785" w:type="dxa"/>
          </w:tcPr>
          <w:p w:rsidR="009B0C62" w:rsidRPr="009B0C62" w:rsidRDefault="009B0C62" w:rsidP="009B0C62">
            <w:pPr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образовательной программы, выраженные в профессиональных компетенциях и видах профессиональной деятельности</w:t>
            </w:r>
          </w:p>
        </w:tc>
        <w:tc>
          <w:tcPr>
            <w:tcW w:w="4786" w:type="dxa"/>
          </w:tcPr>
          <w:p w:rsidR="009B0C62" w:rsidRPr="009B0C62" w:rsidRDefault="009B0C62" w:rsidP="009B0C62">
            <w:pPr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профессионального стандарта (ОТФ, ТФ, ТД), которым соответствуют формируемые в программе профессиональные компетенции</w:t>
            </w:r>
          </w:p>
        </w:tc>
      </w:tr>
      <w:tr w:rsidR="009B0C62" w:rsidRPr="009B0C62" w:rsidTr="00741D89">
        <w:tc>
          <w:tcPr>
            <w:tcW w:w="4785" w:type="dxa"/>
          </w:tcPr>
          <w:p w:rsidR="009B0C62" w:rsidRPr="009B0C62" w:rsidRDefault="009B0C62" w:rsidP="009B0C62">
            <w:pPr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</w:t>
            </w:r>
          </w:p>
          <w:p w:rsidR="009B0C62" w:rsidRPr="009B0C62" w:rsidRDefault="009B0C62" w:rsidP="009B0C62">
            <w:pPr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1.ПК</w:t>
            </w:r>
          </w:p>
          <w:p w:rsidR="009B0C62" w:rsidRPr="009B0C62" w:rsidRDefault="009B0C62" w:rsidP="009B0C62">
            <w:pPr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2.ПК</w:t>
            </w:r>
          </w:p>
          <w:p w:rsidR="009B0C62" w:rsidRPr="009B0C62" w:rsidRDefault="009B0C62" w:rsidP="009B0C62">
            <w:pPr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3.ПК</w:t>
            </w:r>
          </w:p>
        </w:tc>
        <w:tc>
          <w:tcPr>
            <w:tcW w:w="4786" w:type="dxa"/>
          </w:tcPr>
          <w:p w:rsidR="009B0C62" w:rsidRPr="009B0C62" w:rsidRDefault="009B0C62" w:rsidP="009B0C62">
            <w:pPr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ОТФ…</w:t>
            </w:r>
          </w:p>
          <w:p w:rsidR="009B0C62" w:rsidRPr="009B0C62" w:rsidRDefault="009B0C62" w:rsidP="009B0C62">
            <w:pPr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ТФ…</w:t>
            </w:r>
          </w:p>
          <w:p w:rsidR="009B0C62" w:rsidRPr="009B0C62" w:rsidRDefault="009B0C62" w:rsidP="009B0C62">
            <w:pPr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ТД…</w:t>
            </w:r>
          </w:p>
        </w:tc>
      </w:tr>
      <w:tr w:rsidR="009B0C62" w:rsidRPr="009B0C62" w:rsidTr="00741D89">
        <w:tc>
          <w:tcPr>
            <w:tcW w:w="9571" w:type="dxa"/>
            <w:gridSpan w:val="2"/>
          </w:tcPr>
          <w:p w:rsidR="009B0C62" w:rsidRPr="009B0C62" w:rsidRDefault="009B0C62" w:rsidP="009B0C62">
            <w:pPr>
              <w:autoSpaceDE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</w:p>
        </w:tc>
      </w:tr>
      <w:tr w:rsidR="009B0C62" w:rsidRPr="009B0C62" w:rsidTr="00741D89">
        <w:tc>
          <w:tcPr>
            <w:tcW w:w="4785" w:type="dxa"/>
          </w:tcPr>
          <w:p w:rsidR="009B0C62" w:rsidRPr="009B0C62" w:rsidRDefault="009B0C62" w:rsidP="009B0C62">
            <w:pPr>
              <w:autoSpaceDE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786" w:type="dxa"/>
          </w:tcPr>
          <w:p w:rsidR="009B0C62" w:rsidRPr="009B0C62" w:rsidRDefault="009B0C62" w:rsidP="009B0C62">
            <w:pPr>
              <w:autoSpaceDE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9B0C62" w:rsidRPr="009B0C62" w:rsidTr="00741D89">
        <w:tc>
          <w:tcPr>
            <w:tcW w:w="4785" w:type="dxa"/>
          </w:tcPr>
          <w:p w:rsidR="009B0C62" w:rsidRPr="009B0C62" w:rsidRDefault="009B0C62" w:rsidP="009B0C62">
            <w:pPr>
              <w:autoSpaceDE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786" w:type="dxa"/>
          </w:tcPr>
          <w:p w:rsidR="009B0C62" w:rsidRPr="009B0C62" w:rsidRDefault="009B0C62" w:rsidP="009B0C62">
            <w:pPr>
              <w:autoSpaceDE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9B0C62" w:rsidRPr="009B0C62" w:rsidTr="00741D89">
        <w:tc>
          <w:tcPr>
            <w:tcW w:w="9571" w:type="dxa"/>
            <w:gridSpan w:val="2"/>
          </w:tcPr>
          <w:p w:rsidR="009B0C62" w:rsidRPr="009B0C62" w:rsidRDefault="009B0C62" w:rsidP="009B0C62">
            <w:pPr>
              <w:autoSpaceDE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</w:p>
        </w:tc>
      </w:tr>
    </w:tbl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before="360"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3.Соответствие учебных планов, рабочих программ учебных предметов, курсов, дисциплин (модулей), оценочных материалов и процедур запла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нированным результатам освоения</w:t>
      </w:r>
      <w:r w:rsidRPr="009B0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образовательной программы (компетенциям и результатам обучения).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устанавливается через рассмотрение единиц, составляющих содержание программы. Анализ излагается в свободной форме. В нём приводятся: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сопоставление результатов, установленных по каждой общепрофессиональной дисциплине, профессиональному модулю и запланированных результатов в целом по программе;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объемов времени, предусмотренных на освоение учебных программ общепрофессиональных дисциплин и профессиональных модулей;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описание образовательных технологий, используемых для формирования профессиональных компетенций (с выборочными примерами из разных общепрофессиональных дисциплин и профессиональных модулей); 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выборочное приведение планов (сценариев, технологических карт) учебных занятий по общепрофессиональным дисциплинам и профессиональным модулям;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выборочное описание заданий учебной и производственной практики, стажировок;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выборочное приведение оценочных средств, в том числе для итоговой аттестации и сопоставление их содержания с результатами, установленными по профессиональным дисциплинам, модулям и в целом по программе;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 тематики и содержания выпускных квалификационных работ;</w:t>
      </w:r>
    </w:p>
    <w:p w:rsidR="009B0C62" w:rsidRPr="009B0C62" w:rsidRDefault="009B0C62" w:rsidP="009B0C62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0C62">
        <w:rPr>
          <w:rFonts w:ascii="Times New Roman" w:eastAsia="Calibri" w:hAnsi="Times New Roman" w:cs="Times New Roman"/>
          <w:i/>
          <w:sz w:val="24"/>
          <w:szCs w:val="24"/>
        </w:rPr>
        <w:t>4. Соответствиематериально-технических, информационно-коммуникационных, учебно-методических и иных ресурсов, непосредственно влияющих на качество подготовки выпускников, содержанию профессиональной деятельности и профессиональным задачам, к которым готовится выпускник.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Приводятся данные по преподавательскому составу образовательной организации, задействованному в реализации профессиональной образовательной программы, заявленной на аккредитацию: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lastRenderedPageBreak/>
        <w:t>- список преподавателей и мастеров профессионального обучения, содержащий данные об образовании, освоенных дополнительных профессиональных программах и педагогическом стаже;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B0C6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B0C62">
        <w:rPr>
          <w:rFonts w:ascii="Times New Roman" w:eastAsia="Calibri" w:hAnsi="Times New Roman" w:cs="Times New Roman"/>
          <w:sz w:val="24"/>
          <w:szCs w:val="24"/>
        </w:rPr>
        <w:t>преподаватели, прошедшие повышение квалификации (стажировку) в профильных организациях за последние три года</w:t>
      </w:r>
      <w:r w:rsidRPr="009B0C62">
        <w:rPr>
          <w:rFonts w:ascii="Times New Roman" w:eastAsia="Calibri" w:hAnsi="Times New Roman" w:cs="Times New Roman"/>
          <w:b/>
          <w:sz w:val="24"/>
          <w:szCs w:val="24"/>
        </w:rPr>
        <w:t>;</w:t>
      </w:r>
      <w:bookmarkStart w:id="11" w:name="_Toc68339290"/>
      <w:bookmarkStart w:id="12" w:name="_Toc68586597"/>
      <w:bookmarkStart w:id="13" w:name="_Toc68586754"/>
      <w:bookmarkStart w:id="14" w:name="_Toc115082347"/>
      <w:bookmarkStart w:id="15" w:name="_Toc115148819"/>
      <w:bookmarkStart w:id="16" w:name="_Toc115148975"/>
      <w:bookmarkStart w:id="17" w:name="_Toc116286164"/>
      <w:bookmarkStart w:id="18" w:name="_Toc189631210"/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B0C62">
        <w:rPr>
          <w:rFonts w:ascii="Times New Roman" w:eastAsia="Calibri" w:hAnsi="Times New Roman" w:cs="Times New Roman"/>
          <w:sz w:val="24"/>
          <w:szCs w:val="24"/>
        </w:rPr>
        <w:t>преподаватели, имеющие опыт работы по профилю;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- преподаватели-совместители из числа специалистов и руководителей профильных организаций; </w:t>
      </w:r>
    </w:p>
    <w:p w:rsidR="009B0C62" w:rsidRPr="009B0C62" w:rsidRDefault="009B0C62" w:rsidP="009B0C62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- преподаватели, подтвердившие свою квалификацию в системе независимой оценки квалификации</w:t>
      </w:r>
      <w:r w:rsidRPr="009B0C6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p w:rsidR="009B0C62" w:rsidRPr="009B0C62" w:rsidRDefault="009B0C62" w:rsidP="009B0C6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Описывается политика образовательной организации, направленная на  развитие кадровых ресурсов (повышение квалификации, профессиональный рост преподавателей и мастеров производственного обучения, укрепление коллективного духа, создание традиций).</w:t>
      </w:r>
      <w:bookmarkStart w:id="19" w:name="_Toc68339292"/>
      <w:bookmarkStart w:id="20" w:name="_Toc68586599"/>
      <w:bookmarkStart w:id="21" w:name="_Toc68586756"/>
      <w:bookmarkStart w:id="22" w:name="_Toc115082349"/>
      <w:bookmarkStart w:id="23" w:name="_Toc115148821"/>
      <w:bookmarkStart w:id="24" w:name="_Toc115148977"/>
      <w:bookmarkStart w:id="25" w:name="_Toc116286166"/>
      <w:bookmarkStart w:id="26" w:name="_Toc189631212"/>
    </w:p>
    <w:p w:rsidR="009B0C62" w:rsidRPr="009B0C62" w:rsidRDefault="009B0C62" w:rsidP="009B0C62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4.2 </w:t>
      </w:r>
      <w:r w:rsidRPr="009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данные по </w:t>
      </w:r>
      <w:r w:rsidRPr="009B0C62">
        <w:rPr>
          <w:rFonts w:ascii="Times New Roman" w:eastAsia="Calibri" w:hAnsi="Times New Roman" w:cs="Times New Roman"/>
          <w:sz w:val="24"/>
          <w:szCs w:val="24"/>
        </w:rPr>
        <w:t>материально-технической баз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9B0C62">
        <w:rPr>
          <w:rFonts w:ascii="Times New Roman" w:eastAsia="Calibri" w:hAnsi="Times New Roman" w:cs="Times New Roman"/>
          <w:sz w:val="24"/>
          <w:szCs w:val="24"/>
        </w:rPr>
        <w:t>е. Описываются аудитории, мастерские, лаборатории, лабораторное оборудование. Указывается, какое оборудование требуется для достижения результатов программы и что имеется в наличии (в том числе компьютерная техника, программное обеспечение и периферийные устройства). Представляются планы по развитию и обновлению материально-технического обеспечения программы.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Документы: 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- локальные нормативные акты, регламентирующие создание и обновление материально-технической базы, необходимой для реализации аккредитуемой образовательной программы;</w:t>
      </w:r>
    </w:p>
    <w:p w:rsidR="009B0C62" w:rsidRPr="009B0C62" w:rsidRDefault="009B0C62" w:rsidP="009B0C62">
      <w:pPr>
        <w:autoSpaceDE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- документы, подтверждающие закупку и/или сервисное обслуживание оборудования (по возможности), установку лицензионного программного обеспечения;</w:t>
      </w:r>
      <w:bookmarkStart w:id="27" w:name="_Toc68339293"/>
      <w:bookmarkStart w:id="28" w:name="_Toc68586600"/>
      <w:bookmarkStart w:id="29" w:name="_Toc68586757"/>
      <w:bookmarkStart w:id="30" w:name="_Toc115082350"/>
      <w:bookmarkStart w:id="31" w:name="_Toc115148822"/>
      <w:bookmarkStart w:id="32" w:name="_Toc115148978"/>
      <w:bookmarkStart w:id="33" w:name="_Toc116286167"/>
      <w:bookmarkStart w:id="34" w:name="_Toc189631213"/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- другие документы, содержащие характеристики информационно-коммуникационных ресурсов, используемых для реализации образовательной программы;</w:t>
      </w:r>
    </w:p>
    <w:p w:rsidR="009B0C62" w:rsidRPr="009B0C62" w:rsidRDefault="009B0C62" w:rsidP="009B0C62">
      <w:pPr>
        <w:autoSpaceDE w:val="0"/>
        <w:adjustRightInd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4.3.Учебно-методические ресурсы. </w:t>
      </w:r>
    </w:p>
    <w:bookmarkEnd w:id="27"/>
    <w:bookmarkEnd w:id="28"/>
    <w:bookmarkEnd w:id="29"/>
    <w:bookmarkEnd w:id="30"/>
    <w:bookmarkEnd w:id="31"/>
    <w:bookmarkEnd w:id="32"/>
    <w:bookmarkEnd w:id="33"/>
    <w:bookmarkEnd w:id="34"/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Описываются применяемые при реализации профессиональной образовательной программы учебно-методические пособия, профессиональная, справочная литература, их наличие в достаточном количестве. 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Указывается наличие электронных образовательных ресурсов, соответствующих направленности аккредитуемой образовательной программы: электронных учебников, </w:t>
      </w:r>
      <w:r w:rsidRPr="009B0C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обучающих компьютерных программ, в том числе для дистанционного обучения, профессиональных баз данных, программ для контроля знаний. </w:t>
      </w:r>
    </w:p>
    <w:p w:rsidR="009B0C62" w:rsidRPr="009B0C62" w:rsidRDefault="009B0C62" w:rsidP="009B0C62">
      <w:pPr>
        <w:autoSpaceDE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0C62">
        <w:rPr>
          <w:rFonts w:ascii="Times New Roman" w:eastAsia="Calibri" w:hAnsi="Times New Roman" w:cs="Times New Roman"/>
          <w:i/>
          <w:sz w:val="24"/>
          <w:szCs w:val="24"/>
        </w:rPr>
        <w:t>5. Наличие спроса на профессиональную образовательную программу, востребованность выпускников профессиональной образовательной программы работодателями.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Описывается система взаимоотношений с работодателями по обеспечению набора на профессиональную образовательную программу и поддержки последующего трудоустройства выпускников.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Приводятся данные: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- выпускники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ой программы, трудоустроившиеся</w:t>
      </w: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полученной квалификацией;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- выпускники образовательной программы, обучавшиеся на основании договоров об образовании за счет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 юридических лиц (в том числе по договорам</w:t>
      </w: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 о целевом обучении); 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- заявки от предпр</w:t>
      </w:r>
      <w:r>
        <w:rPr>
          <w:rFonts w:ascii="Times New Roman" w:eastAsia="Calibri" w:hAnsi="Times New Roman" w:cs="Times New Roman"/>
          <w:sz w:val="24"/>
          <w:szCs w:val="24"/>
        </w:rPr>
        <w:t>иятий-работодателей на обучение сотрудников по</w:t>
      </w: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 данной образовательной программе;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- долгосрочные договора на обучение с профильными организациями;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 xml:space="preserve">- условия для обучения по профессиональной образовательной программе иногородних обучающихся; </w:t>
      </w:r>
    </w:p>
    <w:p w:rsidR="009B0C62" w:rsidRPr="009B0C62" w:rsidRDefault="009B0C62" w:rsidP="009B0C62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62">
        <w:rPr>
          <w:rFonts w:ascii="Times New Roman" w:eastAsia="Calibri" w:hAnsi="Times New Roman" w:cs="Times New Roman"/>
          <w:sz w:val="24"/>
          <w:szCs w:val="24"/>
        </w:rPr>
        <w:t>- документы, содержащие позитивную информацию от работодателей об эффективности и качестве работы выпускников образовательной программы.</w:t>
      </w:r>
    </w:p>
    <w:p w:rsidR="009B0C62" w:rsidRPr="009B0C62" w:rsidRDefault="009B0C62" w:rsidP="009B0C62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20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9B0C62">
        <w:rPr>
          <w:rFonts w:ascii="Times New Roman" w:eastAsia="Calibri" w:hAnsi="Times New Roman" w:cs="Times New Roman"/>
          <w:i/>
          <w:sz w:val="24"/>
          <w:szCs w:val="24"/>
        </w:rPr>
        <w:t>Подтвержденное участие работодателей:</w:t>
      </w:r>
    </w:p>
    <w:p w:rsidR="009B0C62" w:rsidRPr="009B0C62" w:rsidRDefault="009B0C62" w:rsidP="009B0C62">
      <w:pPr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i/>
          <w:sz w:val="24"/>
          <w:szCs w:val="24"/>
        </w:rPr>
        <w:t>в проектировании профессиональной образовательной программы, включая планируемые результаты ее освоения, оценочные материалы, учебные планы, рабочие программы;</w:t>
      </w:r>
    </w:p>
    <w:p w:rsidR="009B0C62" w:rsidRPr="009B0C62" w:rsidRDefault="009B0C62" w:rsidP="009B0C62">
      <w:pPr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i/>
          <w:sz w:val="24"/>
          <w:szCs w:val="24"/>
        </w:rPr>
        <w:t>в организации проектной работы обучающихся;</w:t>
      </w:r>
    </w:p>
    <w:p w:rsidR="009B0C62" w:rsidRPr="009B0C62" w:rsidRDefault="009B0C62" w:rsidP="009B0C62">
      <w:pPr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i/>
          <w:sz w:val="24"/>
          <w:szCs w:val="24"/>
        </w:rPr>
        <w:t>в разработке и реализации программ практик, формировании планируемых результатов их прохождения;</w:t>
      </w:r>
    </w:p>
    <w:p w:rsidR="009B0C62" w:rsidRPr="009B0C62" w:rsidRDefault="009B0C62" w:rsidP="009B0C62">
      <w:pPr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i/>
          <w:sz w:val="24"/>
          <w:szCs w:val="24"/>
        </w:rPr>
        <w:t>в разработке тем выпускных квалификационных работ, значимых для соответствующих областей профессиональной деятельности.</w:t>
      </w:r>
    </w:p>
    <w:p w:rsidR="009B0C62" w:rsidRPr="009B0C62" w:rsidRDefault="009B0C62" w:rsidP="009B0C6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sz w:val="24"/>
          <w:szCs w:val="24"/>
        </w:rPr>
        <w:t xml:space="preserve">По данному пункту приводятся документальные свидетельства участия работодателей в разработке, согласовании и рецензировании различных элементов </w:t>
      </w:r>
      <w:r w:rsidRPr="009B0C6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профессиональной образовательной программы и самой программы в целом, а также в их реализации.  </w:t>
      </w:r>
    </w:p>
    <w:p w:rsidR="009B0C62" w:rsidRPr="009B0C62" w:rsidRDefault="009B0C62" w:rsidP="009B0C6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sz w:val="24"/>
          <w:szCs w:val="24"/>
        </w:rPr>
        <w:t>- список сотрудников профильных организаций или экспертов от отрасли, принимавших участие в разработке образовательной программы (её элементов) с контактными данными;</w:t>
      </w:r>
    </w:p>
    <w:p w:rsidR="009B0C62" w:rsidRPr="009B0C62" w:rsidRDefault="009B0C62" w:rsidP="009B0C6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sz w:val="24"/>
          <w:szCs w:val="24"/>
        </w:rPr>
        <w:t>- локальные акты образовательной организации (профильных организаций), регламентирующие механизм участия работодателей в разработке профессиональной образовательной программы, в проведении практик и стажировок обучающихся, в проведении итоговой аттестации;</w:t>
      </w:r>
    </w:p>
    <w:p w:rsidR="009B0C62" w:rsidRPr="009B0C62" w:rsidRDefault="009B0C62" w:rsidP="009B0C6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sz w:val="24"/>
          <w:szCs w:val="24"/>
        </w:rPr>
        <w:t>- протоколы заседаний рабочих групп по разработке профессиональной образовательной программы (её элементов), замечания и предложения экспертов от отрасли;</w:t>
      </w:r>
    </w:p>
    <w:p w:rsidR="009B0C62" w:rsidRPr="009B0C62" w:rsidRDefault="009B0C62" w:rsidP="009B0C6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sz w:val="24"/>
          <w:szCs w:val="24"/>
        </w:rPr>
        <w:t>- договоры с профильными организациями на проведение практик и стажировок обучающихся;</w:t>
      </w:r>
    </w:p>
    <w:p w:rsidR="009B0C62" w:rsidRPr="009B0C62" w:rsidRDefault="009B0C62" w:rsidP="009B0C6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C62">
        <w:rPr>
          <w:rFonts w:ascii="Times New Roman" w:eastAsia="Calibri" w:hAnsi="Times New Roman" w:cs="Times New Roman"/>
          <w:bCs/>
          <w:sz w:val="24"/>
          <w:szCs w:val="24"/>
        </w:rPr>
        <w:t>- программы практик и стажировок;</w:t>
      </w:r>
    </w:p>
    <w:p w:rsidR="000525A4" w:rsidRDefault="009B0C62" w:rsidP="009B0C62">
      <w:r w:rsidRPr="009B0C62">
        <w:rPr>
          <w:rFonts w:ascii="Times New Roman" w:eastAsia="Calibri" w:hAnsi="Times New Roman" w:cs="Times New Roman"/>
          <w:bCs/>
          <w:sz w:val="24"/>
          <w:szCs w:val="24"/>
        </w:rPr>
        <w:t>- наличие кафедр и иных структурных подразделений, обеспечивающих практическую подготовку обучающихся, на базе профильных организаций.</w:t>
      </w:r>
    </w:p>
    <w:sectPr w:rsidR="000525A4" w:rsidSect="0067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D7"/>
    <w:multiLevelType w:val="hybridMultilevel"/>
    <w:tmpl w:val="ED847EDA"/>
    <w:lvl w:ilvl="0" w:tplc="6200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DA7B32"/>
    <w:multiLevelType w:val="hybridMultilevel"/>
    <w:tmpl w:val="C2409170"/>
    <w:lvl w:ilvl="0" w:tplc="2DD468F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3DB5CCA"/>
    <w:multiLevelType w:val="hybridMultilevel"/>
    <w:tmpl w:val="284EBCE2"/>
    <w:lvl w:ilvl="0" w:tplc="3B045416">
      <w:start w:val="1"/>
      <w:numFmt w:val="upperRoman"/>
      <w:lvlText w:val="%1."/>
      <w:lvlJc w:val="right"/>
      <w:pPr>
        <w:tabs>
          <w:tab w:val="num" w:pos="293"/>
        </w:tabs>
        <w:ind w:left="293" w:hanging="180"/>
      </w:pPr>
      <w:rPr>
        <w:rFonts w:hint="default"/>
      </w:rPr>
    </w:lvl>
    <w:lvl w:ilvl="1" w:tplc="C47A2DA8">
      <w:start w:val="1"/>
      <w:numFmt w:val="decimal"/>
      <w:lvlText w:val="%2."/>
      <w:lvlJc w:val="left"/>
      <w:pPr>
        <w:tabs>
          <w:tab w:val="num" w:pos="749"/>
        </w:tabs>
        <w:ind w:left="749" w:hanging="6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4D"/>
    <w:rsid w:val="005B5397"/>
    <w:rsid w:val="00670E97"/>
    <w:rsid w:val="009B0C62"/>
    <w:rsid w:val="00A52249"/>
    <w:rsid w:val="00D34C4D"/>
    <w:rsid w:val="00DD0BBB"/>
    <w:rsid w:val="00E3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B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B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Пошивалова</dc:creator>
  <cp:keywords/>
  <dc:description/>
  <cp:lastModifiedBy>Acer</cp:lastModifiedBy>
  <cp:revision>4</cp:revision>
  <dcterms:created xsi:type="dcterms:W3CDTF">2023-08-28T13:33:00Z</dcterms:created>
  <dcterms:modified xsi:type="dcterms:W3CDTF">2024-08-06T10:54:00Z</dcterms:modified>
</cp:coreProperties>
</file>